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1"/>
        <w:gridCol w:w="3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рабочих программах, разрабатываемых по ФГОС-2021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школа), разрабатываемых в соответствии с приказами Минпросвещения России от 31.05.2021 № 286 и № 287.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Минпросвещения России от 31.05.2021 № 286 (далее – ФГОС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Структура рабочей программы определяется Положением с учетом требований ФГОС НОО и ФГОС ООО, локальных нормативных актов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личностным, метапредметным и предметным результатам;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деятельности учащихся, направленные на достижение результата;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оценки достижения планируемых результатов (возможно приложение оценочных материалов).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Раздел, посвященный содержанию учебного предмета, курса, модуля включает: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связи учебного предмета, модуля, курса;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ключевые темы в их взаимосвязи, преемственность по годам изучения (если актуально).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тем, планируемых для освоения учащимися;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академических часов, отводимых на освоение каждой темы;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 об электронных учебно-методических материалах, которые можно использовать при изучении каждой 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 абзац в пояснительную записку рабочей программы – если она оформляется;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и утверждения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Рабочая программа разрабатывается педагогическим работником в соответствии с его компетенцией.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по учебному предмету разрабатывается на учебный год;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период реализации ООП;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Рабочая программа может быть разработана на основе: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 программы, входящей в учебно-методический комплект;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авторской программы;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Рабочая программа оформляется в электронном и/или печатном варианте.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Электронная версия рабочей программы форматируется в редакторе Word шрифтом Times New Roman, кегль 12-14, межстрочный интервал одинарный, выровненный по ширине, поля со всех сторон 1-3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Центровка заголовков и абзацы в тексте выполняются при помощи средств Word. Листы формата А 4. Таблицы встраиваются непосредственно в текст, если иное не предусматривается автором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Страницы рабочей программы должны быть пронумерованы. Титульный лист не нумеруется.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Печатная версия рабочей программы дублирует электронную версию.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Электронный вариант рабочей программы хранится в папке «Завуч» на локальном диске «Школа».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Разработчик рабочей программы готовит в электронном виде аннотацию для сайта школы, в которой указывает: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рабочей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срок, на который разработана рабочая программа;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приложений к рабочей программе.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3F4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2022-07-30T19:18:52Z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191664CA5A954889BC67188CAA7A770A</vt:lpwstr>
  </property>
</Properties>
</file>